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AC13F" w14:textId="77777777" w:rsidR="00A33978" w:rsidRPr="003F7464" w:rsidRDefault="00A33978" w:rsidP="00A33978">
      <w:pPr>
        <w:spacing w:line="240" w:lineRule="auto"/>
        <w:jc w:val="center"/>
        <w:rPr>
          <w:rFonts w:ascii="Arial" w:hAnsi="Arial" w:cs="Arial"/>
          <w:color w:val="221E1F"/>
          <w:sz w:val="24"/>
          <w:szCs w:val="24"/>
        </w:rPr>
      </w:pPr>
      <w:r>
        <w:rPr>
          <w:b/>
          <w:noProof/>
          <w:color w:val="233F8F"/>
          <w:sz w:val="40"/>
          <w:szCs w:val="40"/>
        </w:rPr>
        <w:drawing>
          <wp:inline distT="0" distB="0" distL="0" distR="0" wp14:anchorId="70450B74" wp14:editId="23D542ED">
            <wp:extent cx="2121408" cy="11455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TE hi re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719" cy="1157609"/>
                    </a:xfrm>
                    <a:prstGeom prst="rect">
                      <a:avLst/>
                    </a:prstGeom>
                  </pic:spPr>
                </pic:pic>
              </a:graphicData>
            </a:graphic>
          </wp:inline>
        </w:drawing>
      </w:r>
    </w:p>
    <w:p w14:paraId="19745E70" w14:textId="77777777" w:rsidR="00A33978" w:rsidRPr="00907F24" w:rsidRDefault="00A33978" w:rsidP="00A33978">
      <w:pPr>
        <w:pStyle w:val="Pa3"/>
        <w:spacing w:after="160" w:line="240" w:lineRule="auto"/>
        <w:jc w:val="center"/>
        <w:rPr>
          <w:color w:val="233F8F"/>
          <w:sz w:val="40"/>
          <w:szCs w:val="40"/>
        </w:rPr>
      </w:pPr>
      <w:r w:rsidRPr="00907F24">
        <w:rPr>
          <w:b/>
          <w:bCs/>
          <w:color w:val="233F8F"/>
          <w:sz w:val="40"/>
          <w:szCs w:val="40"/>
        </w:rPr>
        <w:t xml:space="preserve">Pi Theta Epsilon </w:t>
      </w:r>
      <w:r>
        <w:rPr>
          <w:color w:val="233F8F"/>
          <w:sz w:val="40"/>
          <w:szCs w:val="40"/>
        </w:rPr>
        <w:br/>
      </w:r>
      <w:r w:rsidRPr="00A33978">
        <w:rPr>
          <w:b/>
          <w:bCs/>
          <w:color w:val="233F8F"/>
          <w:sz w:val="40"/>
          <w:szCs w:val="40"/>
          <w:highlight w:val="yellow"/>
        </w:rPr>
        <w:t>Sample letter to Applicant</w:t>
      </w:r>
      <w:r w:rsidRPr="00907F24">
        <w:rPr>
          <w:b/>
          <w:bCs/>
          <w:color w:val="233F8F"/>
          <w:sz w:val="40"/>
          <w:szCs w:val="40"/>
        </w:rPr>
        <w:t xml:space="preserve"> </w:t>
      </w:r>
    </w:p>
    <w:p w14:paraId="2057AC48" w14:textId="77777777" w:rsidR="00A33978" w:rsidRDefault="00A33978" w:rsidP="00A33978">
      <w:pPr>
        <w:pStyle w:val="Pa11"/>
        <w:spacing w:after="200" w:line="240" w:lineRule="auto"/>
        <w:jc w:val="center"/>
        <w:rPr>
          <w:i/>
          <w:color w:val="221E1F"/>
        </w:rPr>
      </w:pPr>
    </w:p>
    <w:p w14:paraId="5E790578" w14:textId="77777777" w:rsidR="00A33978" w:rsidRPr="00A33978" w:rsidRDefault="00A33978" w:rsidP="00A33978">
      <w:pPr>
        <w:pStyle w:val="Pa11"/>
        <w:spacing w:after="200" w:line="240" w:lineRule="auto"/>
        <w:rPr>
          <w:i/>
          <w:color w:val="221E1F"/>
          <w:sz w:val="22"/>
          <w:szCs w:val="22"/>
        </w:rPr>
      </w:pPr>
      <w:r w:rsidRPr="00A33978">
        <w:rPr>
          <w:i/>
          <w:color w:val="221E1F"/>
          <w:sz w:val="22"/>
          <w:szCs w:val="22"/>
        </w:rPr>
        <w:t xml:space="preserve">[Insert Date] </w:t>
      </w:r>
    </w:p>
    <w:p w14:paraId="63D3B917" w14:textId="77777777" w:rsidR="00A33978" w:rsidRPr="00A33978" w:rsidRDefault="00A33978" w:rsidP="00A33978">
      <w:pPr>
        <w:pStyle w:val="Pa2"/>
        <w:spacing w:after="260" w:line="240" w:lineRule="auto"/>
        <w:rPr>
          <w:color w:val="221E1F"/>
          <w:sz w:val="22"/>
          <w:szCs w:val="22"/>
        </w:rPr>
      </w:pPr>
      <w:r w:rsidRPr="00A33978">
        <w:rPr>
          <w:color w:val="221E1F"/>
          <w:sz w:val="22"/>
          <w:szCs w:val="22"/>
        </w:rPr>
        <w:t xml:space="preserve">Dear </w:t>
      </w:r>
      <w:r w:rsidRPr="00A33978">
        <w:rPr>
          <w:i/>
          <w:color w:val="221E1F"/>
          <w:sz w:val="22"/>
          <w:szCs w:val="22"/>
        </w:rPr>
        <w:t>[Insert Student Name]:</w:t>
      </w:r>
      <w:r w:rsidRPr="00A33978">
        <w:rPr>
          <w:color w:val="221E1F"/>
          <w:sz w:val="22"/>
          <w:szCs w:val="22"/>
        </w:rPr>
        <w:t xml:space="preserve"> </w:t>
      </w:r>
    </w:p>
    <w:p w14:paraId="4C7081CB" w14:textId="77777777" w:rsidR="00A33978" w:rsidRPr="00A33978" w:rsidRDefault="00A33978" w:rsidP="00A33978">
      <w:pPr>
        <w:pStyle w:val="Pa2"/>
        <w:spacing w:after="260" w:line="240" w:lineRule="auto"/>
        <w:rPr>
          <w:color w:val="221E1F"/>
          <w:sz w:val="22"/>
          <w:szCs w:val="22"/>
        </w:rPr>
      </w:pPr>
      <w:r w:rsidRPr="00A33978">
        <w:rPr>
          <w:color w:val="221E1F"/>
          <w:sz w:val="22"/>
          <w:szCs w:val="22"/>
        </w:rPr>
        <w:t xml:space="preserve">It is my pleasure as President of Pi Theta Epsilon to congratulate you on your superior academic performance and invite you to apply for membership to Pi Theta Epsilon. </w:t>
      </w:r>
    </w:p>
    <w:p w14:paraId="13302BCE" w14:textId="77777777" w:rsidR="00A33978" w:rsidRPr="00A33978" w:rsidRDefault="00A33978" w:rsidP="00A33978">
      <w:pPr>
        <w:pStyle w:val="Pa2"/>
        <w:spacing w:after="260" w:line="240" w:lineRule="auto"/>
        <w:rPr>
          <w:color w:val="221E1F"/>
          <w:sz w:val="22"/>
          <w:szCs w:val="22"/>
        </w:rPr>
      </w:pPr>
      <w:r w:rsidRPr="00A33978">
        <w:rPr>
          <w:color w:val="221E1F"/>
          <w:sz w:val="22"/>
          <w:szCs w:val="22"/>
        </w:rPr>
        <w:t xml:space="preserve">Pi Theta Epsilon is defined by its Greek translation, which is Advancement of Occupational Therapy. This national occupational therapy honor society recognizes and promotes academic excellence and scholarship. The purposes of Pi Theta Epsilon, as stated in the Society’s Constitution, are: </w:t>
      </w:r>
    </w:p>
    <w:p w14:paraId="3A0D3642" w14:textId="77777777" w:rsidR="00A33978" w:rsidRPr="00A33978" w:rsidRDefault="00A33978" w:rsidP="00A33978">
      <w:pPr>
        <w:pStyle w:val="Pa5"/>
        <w:numPr>
          <w:ilvl w:val="1"/>
          <w:numId w:val="1"/>
        </w:numPr>
        <w:spacing w:after="260" w:line="240" w:lineRule="auto"/>
        <w:rPr>
          <w:color w:val="221E1F"/>
          <w:sz w:val="22"/>
          <w:szCs w:val="22"/>
        </w:rPr>
      </w:pPr>
      <w:r w:rsidRPr="00A33978">
        <w:rPr>
          <w:color w:val="221E1F"/>
          <w:sz w:val="22"/>
          <w:szCs w:val="22"/>
        </w:rPr>
        <w:t xml:space="preserve">To recognize and encourage scholastic excellence of occupational therapy students. </w:t>
      </w:r>
    </w:p>
    <w:p w14:paraId="27E75333" w14:textId="77777777" w:rsidR="00A33978" w:rsidRPr="00A33978" w:rsidRDefault="00A33978" w:rsidP="00A33978">
      <w:pPr>
        <w:pStyle w:val="Pa5"/>
        <w:numPr>
          <w:ilvl w:val="1"/>
          <w:numId w:val="1"/>
        </w:numPr>
        <w:spacing w:after="260" w:line="240" w:lineRule="auto"/>
        <w:rPr>
          <w:color w:val="221E1F"/>
          <w:sz w:val="22"/>
          <w:szCs w:val="22"/>
        </w:rPr>
      </w:pPr>
      <w:r w:rsidRPr="00A33978">
        <w:rPr>
          <w:color w:val="221E1F"/>
          <w:sz w:val="22"/>
          <w:szCs w:val="22"/>
        </w:rPr>
        <w:t xml:space="preserve">To contribute to the advancement of the field of occupational therapy through scholarly activities of students and alumni. </w:t>
      </w:r>
    </w:p>
    <w:p w14:paraId="706FA178" w14:textId="77777777" w:rsidR="00A33978" w:rsidRPr="00A33978" w:rsidRDefault="00A33978" w:rsidP="00A33978">
      <w:pPr>
        <w:pStyle w:val="Pa5"/>
        <w:numPr>
          <w:ilvl w:val="1"/>
          <w:numId w:val="1"/>
        </w:numPr>
        <w:spacing w:after="260" w:line="240" w:lineRule="auto"/>
        <w:rPr>
          <w:color w:val="221E1F"/>
          <w:sz w:val="22"/>
          <w:szCs w:val="22"/>
        </w:rPr>
      </w:pPr>
      <w:r w:rsidRPr="00A33978">
        <w:rPr>
          <w:color w:val="221E1F"/>
          <w:sz w:val="22"/>
          <w:szCs w:val="22"/>
        </w:rPr>
        <w:t xml:space="preserve">To provide a vehicle for students enrolled in accredited programs in occupational therapy to exchange information and to collaborate regarding scholarly activities. </w:t>
      </w:r>
    </w:p>
    <w:p w14:paraId="05925F8D" w14:textId="77777777" w:rsidR="00A33978" w:rsidRPr="00A33978" w:rsidRDefault="00A33978" w:rsidP="00A33978">
      <w:pPr>
        <w:pStyle w:val="Pa2"/>
        <w:spacing w:after="260" w:line="240" w:lineRule="auto"/>
        <w:rPr>
          <w:color w:val="221E1F"/>
          <w:sz w:val="22"/>
          <w:szCs w:val="22"/>
        </w:rPr>
      </w:pPr>
      <w:r w:rsidRPr="00A33978">
        <w:rPr>
          <w:color w:val="221E1F"/>
          <w:sz w:val="22"/>
          <w:szCs w:val="22"/>
        </w:rPr>
        <w:t xml:space="preserve">The mission of Pi Theta Epsilon is to support the practice of occupational sciences and the practice of authentic occupational therapy by promoting research, leadership and scholarly activities by its members. In this way, the organization serves not only the profession, but helps to ensure quality health care services for the public. </w:t>
      </w:r>
    </w:p>
    <w:p w14:paraId="5B684783" w14:textId="77777777" w:rsidR="00A33978" w:rsidRPr="00A33978" w:rsidRDefault="00A33978" w:rsidP="00A33978">
      <w:pPr>
        <w:pStyle w:val="Pa2"/>
        <w:spacing w:after="260" w:line="240" w:lineRule="auto"/>
        <w:rPr>
          <w:color w:val="221E1F"/>
          <w:sz w:val="22"/>
          <w:szCs w:val="22"/>
        </w:rPr>
      </w:pPr>
      <w:r w:rsidRPr="00A33978">
        <w:rPr>
          <w:color w:val="221E1F"/>
          <w:sz w:val="22"/>
          <w:szCs w:val="22"/>
        </w:rPr>
        <w:t xml:space="preserve">Pi Theta Epsilon maintains eligibility criteria, which must be satisfied upon membership. These criteria are stated in the Society’s Constitution, but will be outlined briefly for your convenience. A student shall be invited to apply for membership if he/she meets the following criteria: </w:t>
      </w:r>
    </w:p>
    <w:p w14:paraId="4A8C5BA2" w14:textId="77777777" w:rsidR="00A33978" w:rsidRDefault="00A33978" w:rsidP="00A33978">
      <w:pPr>
        <w:pStyle w:val="Pa5"/>
        <w:numPr>
          <w:ilvl w:val="1"/>
          <w:numId w:val="1"/>
        </w:numPr>
        <w:spacing w:after="260" w:line="240" w:lineRule="auto"/>
        <w:rPr>
          <w:color w:val="221E1F"/>
          <w:sz w:val="22"/>
          <w:szCs w:val="22"/>
        </w:rPr>
      </w:pPr>
      <w:r w:rsidRPr="00A33978">
        <w:rPr>
          <w:color w:val="221E1F"/>
          <w:sz w:val="22"/>
          <w:szCs w:val="22"/>
        </w:rPr>
        <w:t xml:space="preserve">Is enrolled in an accredited and/or professional occupational therapy program and has attained second semester junior standing in the occupational therapy program or completed nine semester hours in a master’s program. </w:t>
      </w:r>
    </w:p>
    <w:p w14:paraId="572B5739" w14:textId="4C3C2CBD" w:rsidR="00330399" w:rsidRPr="003A1E49" w:rsidRDefault="003A1E49" w:rsidP="003A1E49">
      <w:pPr>
        <w:pStyle w:val="ListParagraph"/>
        <w:numPr>
          <w:ilvl w:val="1"/>
          <w:numId w:val="1"/>
        </w:numPr>
        <w:rPr>
          <w:rFonts w:ascii="Arial" w:hAnsi="Arial" w:cs="Arial"/>
        </w:rPr>
      </w:pPr>
      <w:r w:rsidRPr="003A1E49">
        <w:rPr>
          <w:rFonts w:ascii="Arial" w:hAnsi="Arial" w:cs="Arial"/>
          <w:color w:val="000000"/>
        </w:rPr>
        <w:t>Is among the top 35% of the class, calculated from the students’ cumulative scholastic record</w:t>
      </w:r>
      <w:r w:rsidR="001E08F7">
        <w:rPr>
          <w:rFonts w:ascii="Arial" w:hAnsi="Arial" w:cs="Arial"/>
          <w:color w:val="000000"/>
        </w:rPr>
        <w:t>.</w:t>
      </w:r>
    </w:p>
    <w:p w14:paraId="05A4370A" w14:textId="77777777" w:rsidR="00A33978" w:rsidRPr="00A33978" w:rsidRDefault="00A33978" w:rsidP="00A33978">
      <w:pPr>
        <w:pStyle w:val="ListParagraph"/>
        <w:numPr>
          <w:ilvl w:val="1"/>
          <w:numId w:val="1"/>
        </w:numPr>
        <w:spacing w:line="240" w:lineRule="auto"/>
        <w:rPr>
          <w:rFonts w:ascii="Arial" w:hAnsi="Arial" w:cs="Arial"/>
          <w:color w:val="221E1F"/>
        </w:rPr>
      </w:pPr>
      <w:r w:rsidRPr="00A33978">
        <w:rPr>
          <w:rFonts w:ascii="Arial" w:hAnsi="Arial" w:cs="Arial"/>
          <w:color w:val="221E1F"/>
        </w:rPr>
        <w:lastRenderedPageBreak/>
        <w:t>Has at least one entire semester remaining after induction before he/she leaves for fieldwork placement.</w:t>
      </w:r>
    </w:p>
    <w:p w14:paraId="3BF73522" w14:textId="77777777" w:rsidR="00A33978" w:rsidRPr="00A33978" w:rsidRDefault="00A33978" w:rsidP="00A33978">
      <w:pPr>
        <w:pStyle w:val="Pa5"/>
        <w:numPr>
          <w:ilvl w:val="1"/>
          <w:numId w:val="1"/>
        </w:numPr>
        <w:spacing w:after="260" w:line="240" w:lineRule="auto"/>
        <w:rPr>
          <w:color w:val="221E1F"/>
          <w:sz w:val="22"/>
          <w:szCs w:val="22"/>
        </w:rPr>
      </w:pPr>
      <w:r w:rsidRPr="00A33978">
        <w:rPr>
          <w:color w:val="221E1F"/>
          <w:sz w:val="22"/>
          <w:szCs w:val="22"/>
        </w:rPr>
        <w:t xml:space="preserve">Submits a piece of scholarly written work completed while enrolled in the occupational therapy program. Scholarly written work may include course papers or research papers that demonstrate critical thinking and written expression. </w:t>
      </w:r>
    </w:p>
    <w:p w14:paraId="59A312ED" w14:textId="77777777" w:rsidR="00A33978" w:rsidRPr="00A33978" w:rsidRDefault="00A33978" w:rsidP="00A33978">
      <w:pPr>
        <w:pStyle w:val="Pa2"/>
        <w:spacing w:after="260" w:line="240" w:lineRule="auto"/>
        <w:rPr>
          <w:color w:val="221E1F"/>
          <w:sz w:val="22"/>
          <w:szCs w:val="22"/>
        </w:rPr>
      </w:pPr>
      <w:r w:rsidRPr="00A33978">
        <w:rPr>
          <w:color w:val="221E1F"/>
          <w:sz w:val="22"/>
          <w:szCs w:val="22"/>
        </w:rPr>
        <w:t xml:space="preserve">I sincerely hope you will read the enclosed information and submit your application. National fees include a one-time induction fee of $50 plus first year national chapter dues of $25. If you choose to be a lifetime member of Pi Theta Epsilon instead, dues will be $175, which includes your national induction fee and one-time dues. </w:t>
      </w:r>
      <w:r w:rsidRPr="00A33978">
        <w:rPr>
          <w:color w:val="221E1F"/>
          <w:sz w:val="22"/>
          <w:szCs w:val="22"/>
        </w:rPr>
        <w:br/>
      </w:r>
      <w:r w:rsidRPr="00A33978">
        <w:rPr>
          <w:color w:val="221E1F"/>
          <w:sz w:val="22"/>
          <w:szCs w:val="22"/>
        </w:rPr>
        <w:br/>
        <w:t>Please contact us with any questions and visit the Pi Theta Epsilon website</w:t>
      </w:r>
      <w:r w:rsidR="002D2AF5">
        <w:rPr>
          <w:color w:val="221E1F"/>
          <w:sz w:val="22"/>
          <w:szCs w:val="22"/>
        </w:rPr>
        <w:t xml:space="preserve"> at www.aotf.org</w:t>
      </w:r>
      <w:r w:rsidRPr="00A33978">
        <w:rPr>
          <w:color w:val="221E1F"/>
          <w:sz w:val="22"/>
          <w:szCs w:val="22"/>
        </w:rPr>
        <w:t xml:space="preserve"> to learn about the many opportunities available to you as a member of PTE. </w:t>
      </w:r>
      <w:r w:rsidRPr="00A33978">
        <w:rPr>
          <w:b/>
          <w:bCs/>
          <w:color w:val="221E1F"/>
          <w:sz w:val="22"/>
          <w:szCs w:val="22"/>
        </w:rPr>
        <w:t>Applications and dues need to be returned to [Insert Faculty Advisor Name] by [Insert Deadline Date}.</w:t>
      </w:r>
    </w:p>
    <w:p w14:paraId="6019FCB1" w14:textId="77777777" w:rsidR="00A33978" w:rsidRDefault="00A33978" w:rsidP="00A33978">
      <w:pPr>
        <w:pStyle w:val="Pa2"/>
        <w:spacing w:after="260" w:line="240" w:lineRule="auto"/>
        <w:rPr>
          <w:i/>
          <w:color w:val="221E1F"/>
          <w:sz w:val="22"/>
          <w:szCs w:val="22"/>
        </w:rPr>
      </w:pPr>
      <w:r w:rsidRPr="00A33978">
        <w:rPr>
          <w:color w:val="221E1F"/>
          <w:sz w:val="22"/>
          <w:szCs w:val="22"/>
        </w:rPr>
        <w:t>Sincerely,</w:t>
      </w:r>
      <w:r w:rsidRPr="00A33978">
        <w:rPr>
          <w:color w:val="221E1F"/>
          <w:sz w:val="22"/>
          <w:szCs w:val="22"/>
        </w:rPr>
        <w:br/>
      </w:r>
      <w:r w:rsidRPr="00A33978">
        <w:rPr>
          <w:color w:val="221E1F"/>
          <w:sz w:val="22"/>
          <w:szCs w:val="22"/>
        </w:rPr>
        <w:br/>
      </w:r>
      <w:r w:rsidRPr="00A33978">
        <w:rPr>
          <w:color w:val="221E1F"/>
          <w:sz w:val="22"/>
          <w:szCs w:val="22"/>
        </w:rPr>
        <w:br/>
      </w:r>
      <w:r w:rsidRPr="00A33978">
        <w:rPr>
          <w:color w:val="221E1F"/>
          <w:sz w:val="22"/>
          <w:szCs w:val="22"/>
        </w:rPr>
        <w:br/>
      </w:r>
      <w:r w:rsidRPr="00A33978">
        <w:rPr>
          <w:i/>
          <w:color w:val="221E1F"/>
          <w:sz w:val="22"/>
          <w:szCs w:val="22"/>
        </w:rPr>
        <w:t>[Insert PTE President Name]</w:t>
      </w:r>
      <w:r w:rsidRPr="00A33978">
        <w:rPr>
          <w:color w:val="221E1F"/>
          <w:sz w:val="22"/>
          <w:szCs w:val="22"/>
        </w:rPr>
        <w:br/>
        <w:t>President, Pi Theta Epsilon</w:t>
      </w:r>
      <w:r w:rsidRPr="00A33978">
        <w:rPr>
          <w:color w:val="221E1F"/>
          <w:sz w:val="22"/>
          <w:szCs w:val="22"/>
        </w:rPr>
        <w:br/>
      </w:r>
      <w:r w:rsidRPr="00A33978">
        <w:rPr>
          <w:color w:val="221E1F"/>
          <w:sz w:val="22"/>
          <w:szCs w:val="22"/>
        </w:rPr>
        <w:br/>
      </w:r>
    </w:p>
    <w:p w14:paraId="5FFFF009" w14:textId="77777777" w:rsidR="00A33978" w:rsidRPr="00A33978" w:rsidRDefault="00A33978" w:rsidP="00A33978">
      <w:pPr>
        <w:pStyle w:val="Pa2"/>
        <w:spacing w:after="260" w:line="240" w:lineRule="auto"/>
        <w:rPr>
          <w:color w:val="221E1F"/>
          <w:sz w:val="22"/>
          <w:szCs w:val="22"/>
        </w:rPr>
      </w:pPr>
      <w:r w:rsidRPr="00A33978">
        <w:rPr>
          <w:i/>
          <w:color w:val="221E1F"/>
          <w:sz w:val="22"/>
          <w:szCs w:val="22"/>
        </w:rPr>
        <w:t>[Insert Faculty Advisor Name]</w:t>
      </w:r>
      <w:r w:rsidRPr="00A33978">
        <w:rPr>
          <w:color w:val="221E1F"/>
          <w:sz w:val="22"/>
          <w:szCs w:val="22"/>
        </w:rPr>
        <w:br/>
        <w:t>Faculty Advisor</w:t>
      </w:r>
    </w:p>
    <w:p w14:paraId="78A86C06" w14:textId="77777777" w:rsidR="00AD54BB" w:rsidRDefault="00AD54BB"/>
    <w:sectPr w:rsidR="00AD5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F2B65"/>
    <w:multiLevelType w:val="hybridMultilevel"/>
    <w:tmpl w:val="E2E65240"/>
    <w:lvl w:ilvl="0" w:tplc="04090015">
      <w:start w:val="1"/>
      <w:numFmt w:val="upperLetter"/>
      <w:lvlText w:val="%1."/>
      <w:lvlJc w:val="left"/>
      <w:pPr>
        <w:ind w:left="720" w:hanging="360"/>
      </w:pPr>
    </w:lvl>
    <w:lvl w:ilvl="1" w:tplc="BEEE453A">
      <w:numFmt w:val="bullet"/>
      <w:lvlText w:val="•"/>
      <w:lvlJc w:val="left"/>
      <w:pPr>
        <w:ind w:left="1440" w:hanging="360"/>
      </w:pPr>
      <w:rPr>
        <w:rFonts w:ascii="Arial" w:eastAsiaTheme="minorHAnsi" w:hAnsi="Arial"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A1597"/>
    <w:multiLevelType w:val="multilevel"/>
    <w:tmpl w:val="F9967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02345">
    <w:abstractNumId w:val="0"/>
  </w:num>
  <w:num w:numId="2" w16cid:durableId="25914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78"/>
    <w:rsid w:val="001E08F7"/>
    <w:rsid w:val="002D2AF5"/>
    <w:rsid w:val="00330399"/>
    <w:rsid w:val="003A1E49"/>
    <w:rsid w:val="00416D45"/>
    <w:rsid w:val="009B4492"/>
    <w:rsid w:val="00A33978"/>
    <w:rsid w:val="00AD54BB"/>
    <w:rsid w:val="00C4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19E3"/>
  <w15:chartTrackingRefBased/>
  <w15:docId w15:val="{725EF590-E8D3-49A6-A4A2-745A0C15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A33978"/>
    <w:pPr>
      <w:autoSpaceDE w:val="0"/>
      <w:autoSpaceDN w:val="0"/>
      <w:adjustRightInd w:val="0"/>
      <w:spacing w:after="0" w:line="361" w:lineRule="atLeast"/>
    </w:pPr>
    <w:rPr>
      <w:rFonts w:ascii="Arial" w:hAnsi="Arial" w:cs="Arial"/>
      <w:sz w:val="24"/>
      <w:szCs w:val="24"/>
    </w:rPr>
  </w:style>
  <w:style w:type="paragraph" w:customStyle="1" w:styleId="Pa2">
    <w:name w:val="Pa2"/>
    <w:basedOn w:val="Normal"/>
    <w:next w:val="Normal"/>
    <w:uiPriority w:val="99"/>
    <w:rsid w:val="00A33978"/>
    <w:pPr>
      <w:autoSpaceDE w:val="0"/>
      <w:autoSpaceDN w:val="0"/>
      <w:adjustRightInd w:val="0"/>
      <w:spacing w:after="0" w:line="221" w:lineRule="atLeast"/>
    </w:pPr>
    <w:rPr>
      <w:rFonts w:ascii="Arial" w:hAnsi="Arial" w:cs="Arial"/>
      <w:sz w:val="24"/>
      <w:szCs w:val="24"/>
    </w:rPr>
  </w:style>
  <w:style w:type="paragraph" w:customStyle="1" w:styleId="Pa5">
    <w:name w:val="Pa5"/>
    <w:basedOn w:val="Normal"/>
    <w:next w:val="Normal"/>
    <w:uiPriority w:val="99"/>
    <w:rsid w:val="00A33978"/>
    <w:pPr>
      <w:autoSpaceDE w:val="0"/>
      <w:autoSpaceDN w:val="0"/>
      <w:adjustRightInd w:val="0"/>
      <w:spacing w:after="0" w:line="221" w:lineRule="atLeast"/>
    </w:pPr>
    <w:rPr>
      <w:rFonts w:ascii="Arial" w:hAnsi="Arial" w:cs="Arial"/>
      <w:sz w:val="24"/>
      <w:szCs w:val="24"/>
    </w:rPr>
  </w:style>
  <w:style w:type="paragraph" w:customStyle="1" w:styleId="Pa11">
    <w:name w:val="Pa11"/>
    <w:basedOn w:val="Normal"/>
    <w:next w:val="Normal"/>
    <w:uiPriority w:val="99"/>
    <w:rsid w:val="00A33978"/>
    <w:pPr>
      <w:autoSpaceDE w:val="0"/>
      <w:autoSpaceDN w:val="0"/>
      <w:adjustRightInd w:val="0"/>
      <w:spacing w:after="0" w:line="221" w:lineRule="atLeast"/>
    </w:pPr>
    <w:rPr>
      <w:rFonts w:ascii="Arial" w:hAnsi="Arial" w:cs="Arial"/>
      <w:sz w:val="24"/>
      <w:szCs w:val="24"/>
    </w:rPr>
  </w:style>
  <w:style w:type="paragraph" w:styleId="ListParagraph">
    <w:name w:val="List Paragraph"/>
    <w:basedOn w:val="Normal"/>
    <w:uiPriority w:val="34"/>
    <w:qFormat/>
    <w:rsid w:val="00A3397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49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A9EC8FAC69A41AB295AA1E4B02CD1" ma:contentTypeVersion="15" ma:contentTypeDescription="Create a new document." ma:contentTypeScope="" ma:versionID="b2fa99585d52e6b9d7696429e6973619">
  <xsd:schema xmlns:xsd="http://www.w3.org/2001/XMLSchema" xmlns:xs="http://www.w3.org/2001/XMLSchema" xmlns:p="http://schemas.microsoft.com/office/2006/metadata/properties" xmlns:ns2="d32a136c-64b9-428a-be47-352460c73105" xmlns:ns3="693b3e7b-914f-4af1-bd7f-c5b245e04991" targetNamespace="http://schemas.microsoft.com/office/2006/metadata/properties" ma:root="true" ma:fieldsID="39f4cfa3221ef8695259a1e34431790d" ns2:_="" ns3:_="">
    <xsd:import namespace="d32a136c-64b9-428a-be47-352460c73105"/>
    <xsd:import namespace="693b3e7b-914f-4af1-bd7f-c5b245e04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a136c-64b9-428a-be47-352460c73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aa1ff7-5628-42fe-b72f-62b9108bdd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b3e7b-914f-4af1-bd7f-c5b245e049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33012-9cf3-49d1-a2cf-fd6b1050b8f0}" ma:internalName="TaxCatchAll" ma:showField="CatchAllData" ma:web="693b3e7b-914f-4af1-bd7f-c5b245e0499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2a136c-64b9-428a-be47-352460c73105">
      <Terms xmlns="http://schemas.microsoft.com/office/infopath/2007/PartnerControls"/>
    </lcf76f155ced4ddcb4097134ff3c332f>
    <TaxCatchAll xmlns="693b3e7b-914f-4af1-bd7f-c5b245e049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0149A-BB70-4089-9EEF-9B9EAB155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a136c-64b9-428a-be47-352460c73105"/>
    <ds:schemaRef ds:uri="693b3e7b-914f-4af1-bd7f-c5b245e04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9415E-ED00-4EF8-8DF5-2C49E8AE7EE9}">
  <ds:schemaRefs>
    <ds:schemaRef ds:uri="http://schemas.microsoft.com/office/2006/metadata/properties"/>
    <ds:schemaRef ds:uri="http://schemas.microsoft.com/office/infopath/2007/PartnerControls"/>
    <ds:schemaRef ds:uri="d32a136c-64b9-428a-be47-352460c73105"/>
    <ds:schemaRef ds:uri="693b3e7b-914f-4af1-bd7f-c5b245e04991"/>
  </ds:schemaRefs>
</ds:datastoreItem>
</file>

<file path=customXml/itemProps3.xml><?xml version="1.0" encoding="utf-8"?>
<ds:datastoreItem xmlns:ds="http://schemas.openxmlformats.org/officeDocument/2006/customXml" ds:itemID="{B13E768D-7441-4FEE-8609-580C39486C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Fernandez</dc:creator>
  <cp:keywords/>
  <dc:description/>
  <cp:lastModifiedBy>David</cp:lastModifiedBy>
  <cp:revision>5</cp:revision>
  <dcterms:created xsi:type="dcterms:W3CDTF">2024-07-19T16:33:00Z</dcterms:created>
  <dcterms:modified xsi:type="dcterms:W3CDTF">2024-07-19T17:25:00Z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0x010100E77A9EC8FAC69A41AB295AA1E4B02CD1</vt:lpwstr>
  </property>
  <property fmtid="{D5CDD505-2E9C-101B-9397-08002B2CF9AE}" pid="3" name="MediaServiceImageTags">
    <vt:lpwstr/>
  </property>
</Properties>
</file>